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AA" w:rsidRPr="00F6644D" w:rsidRDefault="00655BAA" w:rsidP="00655BAA">
      <w:pPr>
        <w:jc w:val="center"/>
        <w:rPr>
          <w:b/>
          <w:sz w:val="28"/>
          <w:szCs w:val="28"/>
        </w:rPr>
      </w:pPr>
    </w:p>
    <w:p w:rsidR="00655BAA" w:rsidRPr="00F6644D" w:rsidRDefault="00655BAA" w:rsidP="00655BAA">
      <w:pPr>
        <w:ind w:firstLine="284"/>
        <w:rPr>
          <w:sz w:val="28"/>
          <w:szCs w:val="28"/>
        </w:rPr>
      </w:pPr>
      <w:r>
        <w:rPr>
          <w:b/>
          <w:sz w:val="28"/>
          <w:szCs w:val="28"/>
        </w:rPr>
        <w:t xml:space="preserve">Appendix 2 - </w:t>
      </w:r>
      <w:bookmarkStart w:id="0" w:name="_GoBack"/>
      <w:bookmarkEnd w:id="0"/>
      <w:r w:rsidRPr="00F6644D">
        <w:rPr>
          <w:b/>
          <w:sz w:val="28"/>
          <w:szCs w:val="28"/>
        </w:rPr>
        <w:t xml:space="preserve">‘TOPIC’ Scoring Criteria </w:t>
      </w:r>
    </w:p>
    <w:p w:rsidR="00655BAA" w:rsidRPr="00F6644D" w:rsidRDefault="00655BAA" w:rsidP="00655BAA">
      <w:pPr>
        <w:ind w:left="284" w:hanging="284"/>
        <w:rPr>
          <w:b/>
          <w:szCs w:val="28"/>
        </w:rPr>
      </w:pPr>
    </w:p>
    <w:p w:rsidR="00655BAA" w:rsidRPr="00645A01" w:rsidRDefault="00655BAA" w:rsidP="00655BAA">
      <w:pPr>
        <w:pStyle w:val="ListParagraph"/>
        <w:ind w:left="284" w:right="281"/>
        <w:jc w:val="both"/>
        <w:rPr>
          <w:szCs w:val="28"/>
        </w:rPr>
      </w:pPr>
      <w:r w:rsidRPr="00C346EE">
        <w:rPr>
          <w:rFonts w:eastAsiaTheme="minorHAnsi" w:cs="Arial"/>
        </w:rPr>
        <w:t>In preparing this report, the Scrutiny Officer has developed the ‘TOPIC’ scoring criteria as a guide for prioritising scrutiny issues.  This broadly reflects the approach advocated for by the Centre for Public Scrutiny, and other leading scrutiny authorities. The scoring system is nuanced and aspires to be objective, but the Committee should use its best judgement in agreei</w:t>
      </w:r>
      <w:r>
        <w:rPr>
          <w:rFonts w:eastAsiaTheme="minorHAnsi" w:cs="Arial"/>
        </w:rPr>
        <w:t xml:space="preserve">ng which items to take forward. </w:t>
      </w:r>
      <w:r w:rsidRPr="00C35525">
        <w:rPr>
          <w:rFonts w:eastAsiaTheme="minorHAnsi" w:cs="Arial"/>
        </w:rPr>
        <w:t xml:space="preserve">The Scrutiny Officer has carried out an initial assessment to score each of the items, and </w:t>
      </w:r>
      <w:r>
        <w:rPr>
          <w:rFonts w:eastAsiaTheme="minorHAnsi" w:cs="Arial"/>
        </w:rPr>
        <w:t xml:space="preserve">has reviewed the scoring together with the </w:t>
      </w:r>
      <w:r w:rsidRPr="00C35525">
        <w:rPr>
          <w:rFonts w:eastAsiaTheme="minorHAnsi" w:cs="Arial"/>
        </w:rPr>
        <w:t xml:space="preserve">Chair and Vice-Chair before publication. It is recommended </w:t>
      </w:r>
      <w:r w:rsidRPr="00547574">
        <w:rPr>
          <w:rFonts w:eastAsiaTheme="minorHAnsi" w:cs="Arial"/>
        </w:rPr>
        <w:t>that items scoring 9 or higher</w:t>
      </w:r>
      <w:r w:rsidRPr="00C35525">
        <w:rPr>
          <w:rFonts w:eastAsiaTheme="minorHAnsi" w:cs="Arial"/>
        </w:rPr>
        <w:t xml:space="preserve"> should be included in the Work Plan. </w:t>
      </w:r>
      <w:r>
        <w:rPr>
          <w:rFonts w:eastAsiaTheme="minorHAnsi" w:cs="Arial"/>
        </w:rPr>
        <w:t xml:space="preserve">Items scoring lower than 9 </w:t>
      </w:r>
      <w:r>
        <w:rPr>
          <w:rFonts w:eastAsiaTheme="minorHAnsi" w:cs="Arial"/>
        </w:rPr>
        <w:t>would</w:t>
      </w:r>
      <w:r>
        <w:rPr>
          <w:rFonts w:eastAsiaTheme="minorHAnsi" w:cs="Arial"/>
        </w:rPr>
        <w:t xml:space="preserve"> be placed on a reserve list. </w:t>
      </w:r>
    </w:p>
    <w:p w:rsidR="00655BAA" w:rsidRPr="00DA3834" w:rsidRDefault="00655BAA" w:rsidP="00655BAA">
      <w:pPr>
        <w:autoSpaceDE w:val="0"/>
        <w:autoSpaceDN w:val="0"/>
        <w:adjustRightInd w:val="0"/>
        <w:rPr>
          <w:rFonts w:eastAsiaTheme="minorHAnsi" w:cs="Arial"/>
          <w:sz w:val="22"/>
        </w:rPr>
      </w:pPr>
    </w:p>
    <w:tbl>
      <w:tblPr>
        <w:tblStyle w:val="TableGrid"/>
        <w:tblpPr w:leftFromText="180" w:rightFromText="180" w:vertAnchor="text" w:horzAnchor="margin" w:tblpXSpec="right" w:tblpY="129"/>
        <w:tblW w:w="0" w:type="auto"/>
        <w:tblLook w:val="04A0" w:firstRow="1" w:lastRow="0" w:firstColumn="1" w:lastColumn="0" w:noHBand="0" w:noVBand="1"/>
      </w:tblPr>
      <w:tblGrid>
        <w:gridCol w:w="851"/>
        <w:gridCol w:w="3468"/>
      </w:tblGrid>
      <w:tr w:rsidR="00655BAA" w:rsidTr="008153C3">
        <w:tc>
          <w:tcPr>
            <w:tcW w:w="851" w:type="dxa"/>
            <w:shd w:val="clear" w:color="auto" w:fill="D9D9D9" w:themeFill="background1" w:themeFillShade="D9"/>
          </w:tcPr>
          <w:p w:rsidR="00655BAA" w:rsidRPr="00062672" w:rsidRDefault="00655BAA" w:rsidP="008153C3">
            <w:pPr>
              <w:ind w:left="-142" w:right="-142" w:firstLine="142"/>
              <w:rPr>
                <w:b/>
              </w:rPr>
            </w:pPr>
            <w:r w:rsidRPr="00062672">
              <w:rPr>
                <w:b/>
              </w:rPr>
              <w:t>Score</w:t>
            </w:r>
          </w:p>
        </w:tc>
        <w:tc>
          <w:tcPr>
            <w:tcW w:w="3468" w:type="dxa"/>
            <w:shd w:val="clear" w:color="auto" w:fill="D9D9D9" w:themeFill="background1" w:themeFillShade="D9"/>
          </w:tcPr>
          <w:p w:rsidR="00655BAA" w:rsidRPr="00062672" w:rsidRDefault="00655BAA" w:rsidP="008153C3">
            <w:pPr>
              <w:ind w:left="-142" w:right="-142" w:firstLine="142"/>
              <w:rPr>
                <w:b/>
              </w:rPr>
            </w:pPr>
            <w:r w:rsidRPr="00062672">
              <w:rPr>
                <w:b/>
              </w:rPr>
              <w:t>Measure</w:t>
            </w:r>
          </w:p>
        </w:tc>
      </w:tr>
      <w:tr w:rsidR="00655BAA" w:rsidTr="008153C3">
        <w:tc>
          <w:tcPr>
            <w:tcW w:w="851" w:type="dxa"/>
          </w:tcPr>
          <w:p w:rsidR="00655BAA" w:rsidRDefault="00655BAA" w:rsidP="008153C3">
            <w:pPr>
              <w:ind w:left="-142" w:right="-142" w:firstLine="142"/>
            </w:pPr>
            <w:r>
              <w:t>0</w:t>
            </w:r>
          </w:p>
        </w:tc>
        <w:tc>
          <w:tcPr>
            <w:tcW w:w="3468" w:type="dxa"/>
          </w:tcPr>
          <w:p w:rsidR="00655BAA" w:rsidRDefault="00655BAA" w:rsidP="008153C3">
            <w:pPr>
              <w:ind w:left="-142" w:right="-142" w:firstLine="142"/>
            </w:pPr>
            <w:r>
              <w:t>Work is underway elsewhere</w:t>
            </w:r>
          </w:p>
        </w:tc>
      </w:tr>
      <w:tr w:rsidR="00655BAA" w:rsidTr="008153C3">
        <w:trPr>
          <w:trHeight w:val="257"/>
        </w:trPr>
        <w:tc>
          <w:tcPr>
            <w:tcW w:w="851" w:type="dxa"/>
          </w:tcPr>
          <w:p w:rsidR="00655BAA" w:rsidRDefault="00655BAA" w:rsidP="008153C3">
            <w:pPr>
              <w:ind w:left="-142" w:right="-142" w:firstLine="142"/>
            </w:pPr>
            <w:r>
              <w:t>1</w:t>
            </w:r>
          </w:p>
        </w:tc>
        <w:tc>
          <w:tcPr>
            <w:tcW w:w="3468" w:type="dxa"/>
          </w:tcPr>
          <w:p w:rsidR="00655BAA" w:rsidRDefault="00655BAA" w:rsidP="008153C3">
            <w:pPr>
              <w:ind w:left="-142" w:right="-142" w:firstLine="142"/>
            </w:pPr>
            <w:r>
              <w:t>No other work identified</w:t>
            </w:r>
          </w:p>
        </w:tc>
      </w:tr>
      <w:tr w:rsidR="00655BAA" w:rsidTr="008153C3">
        <w:tc>
          <w:tcPr>
            <w:tcW w:w="851" w:type="dxa"/>
          </w:tcPr>
          <w:p w:rsidR="00655BAA" w:rsidRDefault="00655BAA" w:rsidP="008153C3">
            <w:pPr>
              <w:ind w:left="-142" w:right="-142" w:firstLine="142"/>
            </w:pPr>
            <w:r>
              <w:t>2</w:t>
            </w:r>
          </w:p>
        </w:tc>
        <w:tc>
          <w:tcPr>
            <w:tcW w:w="3468" w:type="dxa"/>
          </w:tcPr>
          <w:p w:rsidR="00655BAA" w:rsidRDefault="00655BAA" w:rsidP="008153C3">
            <w:pPr>
              <w:ind w:right="-142"/>
            </w:pPr>
            <w:r>
              <w:t xml:space="preserve">Priority need to review / poor council performance </w:t>
            </w:r>
          </w:p>
        </w:tc>
      </w:tr>
    </w:tbl>
    <w:p w:rsidR="00655BAA" w:rsidRPr="00C95839" w:rsidRDefault="00655BAA" w:rsidP="00655BAA">
      <w:pPr>
        <w:tabs>
          <w:tab w:val="left" w:pos="4820"/>
          <w:tab w:val="left" w:pos="8505"/>
        </w:tabs>
        <w:ind w:left="284" w:right="4817"/>
        <w:jc w:val="both"/>
      </w:pPr>
      <w:r>
        <w:rPr>
          <w:b/>
          <w:noProof/>
          <w:sz w:val="28"/>
          <w:szCs w:val="28"/>
          <w:lang w:eastAsia="en-GB"/>
        </w:rPr>
        <mc:AlternateContent>
          <mc:Choice Requires="wps">
            <w:drawing>
              <wp:anchor distT="0" distB="0" distL="114300" distR="114300" simplePos="0" relativeHeight="251659264" behindDoc="0" locked="0" layoutInCell="1" allowOverlap="1" wp14:anchorId="57B801F7" wp14:editId="49304FC6">
                <wp:simplePos x="0" y="0"/>
                <wp:positionH relativeFrom="column">
                  <wp:posOffset>3492129</wp:posOffset>
                </wp:positionH>
                <wp:positionV relativeFrom="paragraph">
                  <wp:posOffset>532130</wp:posOffset>
                </wp:positionV>
                <wp:extent cx="237322" cy="0"/>
                <wp:effectExtent l="0" t="76200" r="10795" b="114300"/>
                <wp:wrapNone/>
                <wp:docPr id="10" name="Straight Arrow Connector 10"/>
                <wp:cNvGraphicFramePr/>
                <a:graphic xmlns:a="http://schemas.openxmlformats.org/drawingml/2006/main">
                  <a:graphicData uri="http://schemas.microsoft.com/office/word/2010/wordprocessingShape">
                    <wps:wsp>
                      <wps:cNvCnPr/>
                      <wps:spPr>
                        <a:xfrm>
                          <a:off x="0" y="0"/>
                          <a:ext cx="237322"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4.95pt;margin-top:41.9pt;width:18.7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" strokecolor="black [3040]" strokeweight="2pt">
                <v:stroke endarrow="open"/>
              </v:shape>
            </w:pict>
          </mc:Fallback>
        </mc:AlternateContent>
      </w:r>
      <w:r w:rsidRPr="00421691">
        <w:rPr>
          <w:b/>
          <w:sz w:val="28"/>
          <w:szCs w:val="28"/>
          <w:u w:val="single"/>
        </w:rPr>
        <w:t>T</w:t>
      </w:r>
      <w:r>
        <w:rPr>
          <w:b/>
        </w:rPr>
        <w:t xml:space="preserve"> for Timely </w:t>
      </w:r>
      <w:r w:rsidRPr="00C95839">
        <w:t xml:space="preserve">- Priorities should take account of work in other areas. Is another review happening? Is the service due for inspection? Are legislative changes afoot? Members are advised to wait for the outcome of similar work before conducting their own work. Poorly performing and ‘red’ rated services should also be prioritised for review.  </w:t>
      </w:r>
    </w:p>
    <w:p w:rsidR="00655BAA" w:rsidRPr="00C95839" w:rsidRDefault="00655BAA" w:rsidP="00655BAA">
      <w:pPr>
        <w:tabs>
          <w:tab w:val="left" w:pos="8505"/>
        </w:tabs>
        <w:ind w:right="6773"/>
        <w:jc w:val="both"/>
        <w:rPr>
          <w:b/>
        </w:rPr>
      </w:pPr>
    </w:p>
    <w:tbl>
      <w:tblPr>
        <w:tblStyle w:val="TableGrid"/>
        <w:tblpPr w:leftFromText="180" w:rightFromText="180" w:vertAnchor="text" w:horzAnchor="margin" w:tblpXSpec="right" w:tblpY="60"/>
        <w:tblW w:w="0" w:type="auto"/>
        <w:tblLook w:val="04A0" w:firstRow="1" w:lastRow="0" w:firstColumn="1" w:lastColumn="0" w:noHBand="0" w:noVBand="1"/>
      </w:tblPr>
      <w:tblGrid>
        <w:gridCol w:w="851"/>
        <w:gridCol w:w="3468"/>
      </w:tblGrid>
      <w:tr w:rsidR="00655BAA" w:rsidRPr="00C95839" w:rsidTr="008153C3">
        <w:tc>
          <w:tcPr>
            <w:tcW w:w="851" w:type="dxa"/>
            <w:shd w:val="clear" w:color="auto" w:fill="D9D9D9" w:themeFill="background1" w:themeFillShade="D9"/>
          </w:tcPr>
          <w:p w:rsidR="00655BAA" w:rsidRPr="00C95839" w:rsidRDefault="00655BAA" w:rsidP="008153C3">
            <w:pPr>
              <w:tabs>
                <w:tab w:val="left" w:pos="8505"/>
              </w:tabs>
              <w:ind w:right="-142"/>
              <w:rPr>
                <w:b/>
              </w:rPr>
            </w:pPr>
            <w:r w:rsidRPr="00C95839">
              <w:rPr>
                <w:b/>
              </w:rPr>
              <w:t>Score</w:t>
            </w:r>
          </w:p>
        </w:tc>
        <w:tc>
          <w:tcPr>
            <w:tcW w:w="3468" w:type="dxa"/>
            <w:shd w:val="clear" w:color="auto" w:fill="D9D9D9" w:themeFill="background1" w:themeFillShade="D9"/>
          </w:tcPr>
          <w:p w:rsidR="00655BAA" w:rsidRPr="00C95839" w:rsidRDefault="00655BAA" w:rsidP="008153C3">
            <w:pPr>
              <w:tabs>
                <w:tab w:val="left" w:pos="8505"/>
              </w:tabs>
              <w:ind w:right="-142"/>
              <w:rPr>
                <w:b/>
              </w:rPr>
            </w:pPr>
            <w:r w:rsidRPr="00C95839">
              <w:rPr>
                <w:b/>
              </w:rPr>
              <w:t>Measure</w:t>
            </w:r>
          </w:p>
        </w:tc>
      </w:tr>
      <w:tr w:rsidR="00655BAA" w:rsidRPr="00C95839" w:rsidTr="008153C3">
        <w:tc>
          <w:tcPr>
            <w:tcW w:w="851" w:type="dxa"/>
          </w:tcPr>
          <w:p w:rsidR="00655BAA" w:rsidRPr="00C95839" w:rsidRDefault="00655BAA" w:rsidP="008153C3">
            <w:pPr>
              <w:tabs>
                <w:tab w:val="left" w:pos="8505"/>
              </w:tabs>
              <w:ind w:right="-142"/>
            </w:pPr>
            <w:r w:rsidRPr="00C95839">
              <w:t>0</w:t>
            </w:r>
          </w:p>
        </w:tc>
        <w:tc>
          <w:tcPr>
            <w:tcW w:w="3468" w:type="dxa"/>
          </w:tcPr>
          <w:p w:rsidR="00655BAA" w:rsidRPr="00C95839" w:rsidRDefault="00655BAA" w:rsidP="008153C3">
            <w:pPr>
              <w:tabs>
                <w:tab w:val="left" w:pos="8505"/>
              </w:tabs>
            </w:pPr>
            <w:r w:rsidRPr="00C95839">
              <w:t>Not in the Corporate Plan</w:t>
            </w:r>
          </w:p>
        </w:tc>
      </w:tr>
      <w:tr w:rsidR="00655BAA" w:rsidRPr="00C95839" w:rsidTr="008153C3">
        <w:tc>
          <w:tcPr>
            <w:tcW w:w="851" w:type="dxa"/>
          </w:tcPr>
          <w:p w:rsidR="00655BAA" w:rsidRPr="00C95839" w:rsidRDefault="00655BAA" w:rsidP="008153C3">
            <w:pPr>
              <w:tabs>
                <w:tab w:val="left" w:pos="8505"/>
              </w:tabs>
              <w:ind w:right="-142"/>
            </w:pPr>
            <w:r w:rsidRPr="00C95839">
              <w:t>1</w:t>
            </w:r>
          </w:p>
        </w:tc>
        <w:tc>
          <w:tcPr>
            <w:tcW w:w="3468" w:type="dxa"/>
          </w:tcPr>
          <w:p w:rsidR="00655BAA" w:rsidRPr="00C95839" w:rsidRDefault="00655BAA" w:rsidP="008153C3">
            <w:pPr>
              <w:tabs>
                <w:tab w:val="left" w:pos="8505"/>
              </w:tabs>
              <w:ind w:right="-142"/>
            </w:pPr>
            <w:r w:rsidRPr="00C95839">
              <w:t>Links to the Corporate Plan</w:t>
            </w:r>
          </w:p>
        </w:tc>
      </w:tr>
      <w:tr w:rsidR="00655BAA" w:rsidRPr="00C95839" w:rsidTr="008153C3">
        <w:tc>
          <w:tcPr>
            <w:tcW w:w="851" w:type="dxa"/>
          </w:tcPr>
          <w:p w:rsidR="00655BAA" w:rsidRPr="00C95839" w:rsidRDefault="00655BAA" w:rsidP="008153C3">
            <w:pPr>
              <w:tabs>
                <w:tab w:val="left" w:pos="8505"/>
              </w:tabs>
              <w:ind w:right="-142"/>
            </w:pPr>
            <w:r w:rsidRPr="00C95839">
              <w:t>2</w:t>
            </w:r>
          </w:p>
        </w:tc>
        <w:tc>
          <w:tcPr>
            <w:tcW w:w="3468" w:type="dxa"/>
          </w:tcPr>
          <w:p w:rsidR="00655BAA" w:rsidRPr="00C95839" w:rsidRDefault="00655BAA" w:rsidP="008153C3">
            <w:pPr>
              <w:tabs>
                <w:tab w:val="left" w:pos="8505"/>
              </w:tabs>
              <w:ind w:right="-142"/>
            </w:pPr>
            <w:r w:rsidRPr="00C95839">
              <w:t>In the Corporate Plan</w:t>
            </w:r>
          </w:p>
        </w:tc>
      </w:tr>
      <w:tr w:rsidR="00655BAA" w:rsidRPr="00C95839" w:rsidTr="008153C3">
        <w:tc>
          <w:tcPr>
            <w:tcW w:w="851" w:type="dxa"/>
          </w:tcPr>
          <w:p w:rsidR="00655BAA" w:rsidRPr="00C95839" w:rsidRDefault="00655BAA" w:rsidP="008153C3">
            <w:pPr>
              <w:tabs>
                <w:tab w:val="left" w:pos="8505"/>
              </w:tabs>
              <w:ind w:right="-142"/>
            </w:pPr>
            <w:r w:rsidRPr="00C95839">
              <w:t>3</w:t>
            </w:r>
          </w:p>
        </w:tc>
        <w:tc>
          <w:tcPr>
            <w:tcW w:w="3468" w:type="dxa"/>
          </w:tcPr>
          <w:p w:rsidR="00655BAA" w:rsidRPr="00C95839" w:rsidRDefault="00655BAA" w:rsidP="008153C3">
            <w:pPr>
              <w:tabs>
                <w:tab w:val="left" w:pos="8505"/>
              </w:tabs>
              <w:ind w:right="-142"/>
            </w:pPr>
            <w:r w:rsidRPr="00C95839">
              <w:t>Corporate priority</w:t>
            </w:r>
          </w:p>
        </w:tc>
      </w:tr>
    </w:tbl>
    <w:p w:rsidR="00655BAA" w:rsidRPr="00C95839" w:rsidRDefault="00655BAA" w:rsidP="00655BAA">
      <w:pPr>
        <w:tabs>
          <w:tab w:val="left" w:pos="5387"/>
          <w:tab w:val="left" w:pos="8505"/>
        </w:tabs>
        <w:ind w:left="284" w:right="4817"/>
        <w:jc w:val="both"/>
      </w:pPr>
      <w:r w:rsidRPr="00C95839">
        <w:rPr>
          <w:b/>
          <w:noProof/>
          <w:sz w:val="28"/>
          <w:szCs w:val="28"/>
          <w:lang w:eastAsia="en-GB"/>
        </w:rPr>
        <mc:AlternateContent>
          <mc:Choice Requires="wps">
            <w:drawing>
              <wp:anchor distT="0" distB="0" distL="114300" distR="114300" simplePos="0" relativeHeight="251661312" behindDoc="0" locked="0" layoutInCell="1" allowOverlap="1" wp14:anchorId="5D71401C" wp14:editId="5CB56290">
                <wp:simplePos x="0" y="0"/>
                <wp:positionH relativeFrom="column">
                  <wp:posOffset>3488055</wp:posOffset>
                </wp:positionH>
                <wp:positionV relativeFrom="paragraph">
                  <wp:posOffset>442595</wp:posOffset>
                </wp:positionV>
                <wp:extent cx="236855" cy="0"/>
                <wp:effectExtent l="0" t="76200" r="10795" b="114300"/>
                <wp:wrapNone/>
                <wp:docPr id="6" name="Straight Arrow Connector 6"/>
                <wp:cNvGraphicFramePr/>
                <a:graphic xmlns:a="http://schemas.openxmlformats.org/drawingml/2006/main">
                  <a:graphicData uri="http://schemas.microsoft.com/office/word/2010/wordprocessingShape">
                    <wps:wsp>
                      <wps:cNvCnPr/>
                      <wps:spPr>
                        <a:xfrm>
                          <a:off x="0" y="0"/>
                          <a:ext cx="23685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74.65pt;margin-top:34.85pt;width:18.6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" strokecolor="black [3040]" strokeweight="2pt">
                <v:stroke endarrow="open"/>
              </v:shape>
            </w:pict>
          </mc:Fallback>
        </mc:AlternateContent>
      </w:r>
      <w:r w:rsidRPr="00C95839">
        <w:rPr>
          <w:b/>
          <w:sz w:val="28"/>
          <w:szCs w:val="28"/>
          <w:u w:val="single"/>
        </w:rPr>
        <w:t>O</w:t>
      </w:r>
      <w:r w:rsidRPr="00C95839">
        <w:rPr>
          <w:b/>
        </w:rPr>
        <w:t xml:space="preserve"> for Oxford Priority </w:t>
      </w:r>
      <w:r w:rsidRPr="00C95839">
        <w:t>– The Committee should take account of the Council’s overall vision for the area. Where possible, the Committee should ensure that its work relates to the corporate plan and council priorities.</w:t>
      </w:r>
    </w:p>
    <w:p w:rsidR="00655BAA" w:rsidRPr="00C95839" w:rsidRDefault="00655BAA" w:rsidP="00655BAA">
      <w:pPr>
        <w:tabs>
          <w:tab w:val="left" w:pos="8505"/>
        </w:tabs>
        <w:ind w:right="6773"/>
        <w:jc w:val="both"/>
        <w:rPr>
          <w:b/>
        </w:rPr>
      </w:pPr>
    </w:p>
    <w:tbl>
      <w:tblPr>
        <w:tblStyle w:val="TableGrid"/>
        <w:tblpPr w:leftFromText="180" w:rightFromText="180" w:vertAnchor="text" w:horzAnchor="margin" w:tblpXSpec="right" w:tblpY="139"/>
        <w:tblW w:w="0" w:type="auto"/>
        <w:tblLook w:val="04A0" w:firstRow="1" w:lastRow="0" w:firstColumn="1" w:lastColumn="0" w:noHBand="0" w:noVBand="1"/>
      </w:tblPr>
      <w:tblGrid>
        <w:gridCol w:w="884"/>
        <w:gridCol w:w="3435"/>
      </w:tblGrid>
      <w:tr w:rsidR="00655BAA" w:rsidRPr="00C95839" w:rsidTr="008153C3">
        <w:tc>
          <w:tcPr>
            <w:tcW w:w="884" w:type="dxa"/>
            <w:shd w:val="clear" w:color="auto" w:fill="D9D9D9" w:themeFill="background1" w:themeFillShade="D9"/>
          </w:tcPr>
          <w:p w:rsidR="00655BAA" w:rsidRPr="00C95839" w:rsidRDefault="00655BAA" w:rsidP="008153C3">
            <w:pPr>
              <w:tabs>
                <w:tab w:val="left" w:pos="8505"/>
              </w:tabs>
              <w:ind w:right="-142"/>
              <w:rPr>
                <w:b/>
              </w:rPr>
            </w:pPr>
            <w:r w:rsidRPr="00C95839">
              <w:rPr>
                <w:b/>
              </w:rPr>
              <w:t>Score</w:t>
            </w:r>
          </w:p>
        </w:tc>
        <w:tc>
          <w:tcPr>
            <w:tcW w:w="3435" w:type="dxa"/>
            <w:shd w:val="clear" w:color="auto" w:fill="D9D9D9" w:themeFill="background1" w:themeFillShade="D9"/>
          </w:tcPr>
          <w:p w:rsidR="00655BAA" w:rsidRPr="00C95839" w:rsidRDefault="00655BAA" w:rsidP="008153C3">
            <w:pPr>
              <w:tabs>
                <w:tab w:val="left" w:pos="8505"/>
              </w:tabs>
              <w:ind w:right="-142"/>
              <w:rPr>
                <w:b/>
              </w:rPr>
            </w:pPr>
            <w:r w:rsidRPr="00C95839">
              <w:rPr>
                <w:b/>
              </w:rPr>
              <w:t>Measure</w:t>
            </w:r>
          </w:p>
        </w:tc>
      </w:tr>
      <w:tr w:rsidR="00655BAA" w:rsidRPr="00C95839" w:rsidTr="008153C3">
        <w:tc>
          <w:tcPr>
            <w:tcW w:w="884" w:type="dxa"/>
          </w:tcPr>
          <w:p w:rsidR="00655BAA" w:rsidRPr="00C95839" w:rsidRDefault="00655BAA" w:rsidP="008153C3">
            <w:pPr>
              <w:tabs>
                <w:tab w:val="left" w:pos="8505"/>
              </w:tabs>
              <w:ind w:right="-142"/>
            </w:pPr>
            <w:r w:rsidRPr="00C95839">
              <w:t>0</w:t>
            </w:r>
          </w:p>
        </w:tc>
        <w:tc>
          <w:tcPr>
            <w:tcW w:w="3435" w:type="dxa"/>
          </w:tcPr>
          <w:p w:rsidR="00655BAA" w:rsidRPr="00C95839" w:rsidRDefault="00655BAA" w:rsidP="008153C3">
            <w:pPr>
              <w:tabs>
                <w:tab w:val="left" w:pos="8505"/>
              </w:tabs>
              <w:ind w:right="-142"/>
            </w:pPr>
            <w:r w:rsidRPr="00C95839">
              <w:t>Minimal  public interest</w:t>
            </w:r>
          </w:p>
        </w:tc>
      </w:tr>
      <w:tr w:rsidR="00655BAA" w:rsidRPr="00C95839" w:rsidTr="008153C3">
        <w:tc>
          <w:tcPr>
            <w:tcW w:w="884" w:type="dxa"/>
          </w:tcPr>
          <w:p w:rsidR="00655BAA" w:rsidRPr="00C95839" w:rsidRDefault="00655BAA" w:rsidP="008153C3">
            <w:pPr>
              <w:tabs>
                <w:tab w:val="left" w:pos="8505"/>
              </w:tabs>
              <w:ind w:right="-142"/>
            </w:pPr>
            <w:r w:rsidRPr="00C95839">
              <w:t>1</w:t>
            </w:r>
          </w:p>
        </w:tc>
        <w:tc>
          <w:tcPr>
            <w:tcW w:w="3435" w:type="dxa"/>
          </w:tcPr>
          <w:p w:rsidR="00655BAA" w:rsidRPr="00C95839" w:rsidRDefault="00655BAA" w:rsidP="008153C3">
            <w:pPr>
              <w:tabs>
                <w:tab w:val="left" w:pos="8505"/>
              </w:tabs>
              <w:ind w:right="-142"/>
            </w:pPr>
            <w:r w:rsidRPr="00C95839">
              <w:t>Low public interest</w:t>
            </w:r>
          </w:p>
        </w:tc>
      </w:tr>
      <w:tr w:rsidR="00655BAA" w:rsidRPr="00C95839" w:rsidTr="008153C3">
        <w:trPr>
          <w:trHeight w:val="132"/>
        </w:trPr>
        <w:tc>
          <w:tcPr>
            <w:tcW w:w="884" w:type="dxa"/>
          </w:tcPr>
          <w:p w:rsidR="00655BAA" w:rsidRPr="00C95839" w:rsidRDefault="00655BAA" w:rsidP="008153C3">
            <w:pPr>
              <w:tabs>
                <w:tab w:val="left" w:pos="8505"/>
              </w:tabs>
              <w:ind w:right="-142"/>
            </w:pPr>
            <w:r w:rsidRPr="00C95839">
              <w:t>2</w:t>
            </w:r>
          </w:p>
        </w:tc>
        <w:tc>
          <w:tcPr>
            <w:tcW w:w="3435" w:type="dxa"/>
          </w:tcPr>
          <w:p w:rsidR="00655BAA" w:rsidRPr="00C95839" w:rsidRDefault="00655BAA" w:rsidP="008153C3">
            <w:pPr>
              <w:tabs>
                <w:tab w:val="left" w:pos="8505"/>
              </w:tabs>
              <w:ind w:right="-142"/>
            </w:pPr>
            <w:r w:rsidRPr="00C95839">
              <w:t>Medium public interest</w:t>
            </w:r>
          </w:p>
        </w:tc>
      </w:tr>
      <w:tr w:rsidR="00655BAA" w:rsidRPr="00C95839" w:rsidTr="008153C3">
        <w:tc>
          <w:tcPr>
            <w:tcW w:w="884" w:type="dxa"/>
          </w:tcPr>
          <w:p w:rsidR="00655BAA" w:rsidRPr="00C95839" w:rsidRDefault="00655BAA" w:rsidP="008153C3">
            <w:pPr>
              <w:tabs>
                <w:tab w:val="left" w:pos="8505"/>
              </w:tabs>
              <w:ind w:right="-142"/>
            </w:pPr>
            <w:r w:rsidRPr="00C95839">
              <w:t>3</w:t>
            </w:r>
          </w:p>
        </w:tc>
        <w:tc>
          <w:tcPr>
            <w:tcW w:w="3435" w:type="dxa"/>
          </w:tcPr>
          <w:p w:rsidR="00655BAA" w:rsidRPr="00C95839" w:rsidRDefault="00655BAA" w:rsidP="008153C3">
            <w:pPr>
              <w:tabs>
                <w:tab w:val="left" w:pos="8505"/>
              </w:tabs>
              <w:ind w:right="-142"/>
            </w:pPr>
            <w:r w:rsidRPr="00C95839">
              <w:t>High public interest</w:t>
            </w:r>
          </w:p>
        </w:tc>
      </w:tr>
    </w:tbl>
    <w:p w:rsidR="00655BAA" w:rsidRPr="00C95839" w:rsidRDefault="00655BAA" w:rsidP="00655BAA">
      <w:pPr>
        <w:tabs>
          <w:tab w:val="left" w:pos="5387"/>
          <w:tab w:val="left" w:pos="8505"/>
        </w:tabs>
        <w:ind w:left="284" w:right="4817"/>
        <w:jc w:val="both"/>
      </w:pPr>
      <w:r w:rsidRPr="00C95839">
        <w:rPr>
          <w:b/>
          <w:noProof/>
          <w:sz w:val="28"/>
          <w:szCs w:val="28"/>
          <w:lang w:eastAsia="en-GB"/>
        </w:rPr>
        <mc:AlternateContent>
          <mc:Choice Requires="wps">
            <w:drawing>
              <wp:anchor distT="0" distB="0" distL="114300" distR="114300" simplePos="0" relativeHeight="251662336" behindDoc="0" locked="0" layoutInCell="1" allowOverlap="1" wp14:anchorId="359319D6" wp14:editId="6752F351">
                <wp:simplePos x="0" y="0"/>
                <wp:positionH relativeFrom="column">
                  <wp:posOffset>3491865</wp:posOffset>
                </wp:positionH>
                <wp:positionV relativeFrom="paragraph">
                  <wp:posOffset>461010</wp:posOffset>
                </wp:positionV>
                <wp:extent cx="236855" cy="0"/>
                <wp:effectExtent l="0" t="76200" r="10795" b="114300"/>
                <wp:wrapNone/>
                <wp:docPr id="7" name="Straight Arrow Connector 7"/>
                <wp:cNvGraphicFramePr/>
                <a:graphic xmlns:a="http://schemas.openxmlformats.org/drawingml/2006/main">
                  <a:graphicData uri="http://schemas.microsoft.com/office/word/2010/wordprocessingShape">
                    <wps:wsp>
                      <wps:cNvCnPr/>
                      <wps:spPr>
                        <a:xfrm>
                          <a:off x="0" y="0"/>
                          <a:ext cx="23685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74.95pt;margin-top:36.3pt;width:18.6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" strokecolor="black [3040]" strokeweight="2pt">
                <v:stroke endarrow="open"/>
              </v:shape>
            </w:pict>
          </mc:Fallback>
        </mc:AlternateContent>
      </w:r>
      <w:r w:rsidRPr="00C95839">
        <w:rPr>
          <w:b/>
          <w:sz w:val="28"/>
          <w:szCs w:val="28"/>
          <w:u w:val="single"/>
        </w:rPr>
        <w:t>P</w:t>
      </w:r>
      <w:r w:rsidRPr="00C95839">
        <w:rPr>
          <w:b/>
        </w:rPr>
        <w:t xml:space="preserve"> for Public Interest:</w:t>
      </w:r>
      <w:r w:rsidRPr="00C95839">
        <w:t xml:space="preserve"> Members’ representative roles are an essential feature of Scrutiny. They are the eyes and ears of the public, ensuring that services are meeting local needs. The interests of local people should therefore influence the issues chosen for scrutiny. </w:t>
      </w:r>
    </w:p>
    <w:p w:rsidR="00655BAA" w:rsidRPr="00C95839" w:rsidRDefault="00655BAA" w:rsidP="00655BAA">
      <w:pPr>
        <w:tabs>
          <w:tab w:val="left" w:pos="8505"/>
        </w:tabs>
        <w:ind w:right="6773"/>
        <w:jc w:val="both"/>
      </w:pPr>
    </w:p>
    <w:tbl>
      <w:tblPr>
        <w:tblStyle w:val="TableGrid"/>
        <w:tblpPr w:leftFromText="180" w:rightFromText="180" w:vertAnchor="text" w:horzAnchor="margin" w:tblpXSpec="right" w:tblpY="163"/>
        <w:tblW w:w="0" w:type="auto"/>
        <w:tblLook w:val="04A0" w:firstRow="1" w:lastRow="0" w:firstColumn="1" w:lastColumn="0" w:noHBand="0" w:noVBand="1"/>
      </w:tblPr>
      <w:tblGrid>
        <w:gridCol w:w="851"/>
        <w:gridCol w:w="3468"/>
      </w:tblGrid>
      <w:tr w:rsidR="00655BAA" w:rsidRPr="00C95839" w:rsidTr="008153C3">
        <w:tc>
          <w:tcPr>
            <w:tcW w:w="851" w:type="dxa"/>
            <w:shd w:val="clear" w:color="auto" w:fill="D9D9D9" w:themeFill="background1" w:themeFillShade="D9"/>
          </w:tcPr>
          <w:p w:rsidR="00655BAA" w:rsidRPr="00C95839" w:rsidRDefault="00655BAA" w:rsidP="008153C3">
            <w:pPr>
              <w:tabs>
                <w:tab w:val="left" w:pos="8505"/>
              </w:tabs>
              <w:ind w:right="-142"/>
              <w:rPr>
                <w:b/>
              </w:rPr>
            </w:pPr>
            <w:r w:rsidRPr="00C95839">
              <w:rPr>
                <w:b/>
              </w:rPr>
              <w:t>Score</w:t>
            </w:r>
          </w:p>
        </w:tc>
        <w:tc>
          <w:tcPr>
            <w:tcW w:w="3468" w:type="dxa"/>
            <w:shd w:val="clear" w:color="auto" w:fill="D9D9D9" w:themeFill="background1" w:themeFillShade="D9"/>
          </w:tcPr>
          <w:p w:rsidR="00655BAA" w:rsidRPr="00C95839" w:rsidRDefault="00655BAA" w:rsidP="008153C3">
            <w:pPr>
              <w:tabs>
                <w:tab w:val="left" w:pos="8505"/>
              </w:tabs>
              <w:ind w:right="-142"/>
              <w:rPr>
                <w:b/>
              </w:rPr>
            </w:pPr>
            <w:r w:rsidRPr="00C95839">
              <w:rPr>
                <w:b/>
              </w:rPr>
              <w:t>Measure</w:t>
            </w:r>
          </w:p>
        </w:tc>
      </w:tr>
      <w:tr w:rsidR="00655BAA" w:rsidRPr="00C95839" w:rsidTr="008153C3">
        <w:tc>
          <w:tcPr>
            <w:tcW w:w="851" w:type="dxa"/>
          </w:tcPr>
          <w:p w:rsidR="00655BAA" w:rsidRPr="00C95839" w:rsidRDefault="00655BAA" w:rsidP="008153C3">
            <w:pPr>
              <w:tabs>
                <w:tab w:val="left" w:pos="8505"/>
              </w:tabs>
              <w:ind w:right="-142"/>
            </w:pPr>
            <w:r w:rsidRPr="00C95839">
              <w:t>0</w:t>
            </w:r>
          </w:p>
        </w:tc>
        <w:tc>
          <w:tcPr>
            <w:tcW w:w="3468" w:type="dxa"/>
          </w:tcPr>
          <w:p w:rsidR="00655BAA" w:rsidRPr="00C95839" w:rsidRDefault="00655BAA" w:rsidP="008153C3">
            <w:pPr>
              <w:tabs>
                <w:tab w:val="left" w:pos="8505"/>
              </w:tabs>
              <w:ind w:right="-142"/>
            </w:pPr>
            <w:r w:rsidRPr="00C95839">
              <w:t>low influence</w:t>
            </w:r>
          </w:p>
        </w:tc>
      </w:tr>
      <w:tr w:rsidR="00655BAA" w:rsidRPr="00C95839" w:rsidTr="008153C3">
        <w:tc>
          <w:tcPr>
            <w:tcW w:w="851" w:type="dxa"/>
          </w:tcPr>
          <w:p w:rsidR="00655BAA" w:rsidRPr="00C95839" w:rsidRDefault="00655BAA" w:rsidP="008153C3">
            <w:pPr>
              <w:tabs>
                <w:tab w:val="left" w:pos="8505"/>
              </w:tabs>
              <w:ind w:right="-142"/>
            </w:pPr>
            <w:r w:rsidRPr="00C95839">
              <w:t>1</w:t>
            </w:r>
          </w:p>
        </w:tc>
        <w:tc>
          <w:tcPr>
            <w:tcW w:w="3468" w:type="dxa"/>
          </w:tcPr>
          <w:p w:rsidR="00655BAA" w:rsidRPr="00C95839" w:rsidRDefault="00655BAA" w:rsidP="008153C3">
            <w:pPr>
              <w:tabs>
                <w:tab w:val="left" w:pos="8505"/>
              </w:tabs>
              <w:ind w:right="-142"/>
            </w:pPr>
            <w:r w:rsidRPr="00C95839">
              <w:t>Medium influence</w:t>
            </w:r>
          </w:p>
        </w:tc>
      </w:tr>
      <w:tr w:rsidR="00655BAA" w:rsidRPr="00C95839" w:rsidTr="008153C3">
        <w:tc>
          <w:tcPr>
            <w:tcW w:w="851" w:type="dxa"/>
          </w:tcPr>
          <w:p w:rsidR="00655BAA" w:rsidRPr="00C95839" w:rsidRDefault="00655BAA" w:rsidP="008153C3">
            <w:pPr>
              <w:tabs>
                <w:tab w:val="left" w:pos="8505"/>
              </w:tabs>
              <w:ind w:right="-142"/>
            </w:pPr>
            <w:r w:rsidRPr="00C95839">
              <w:t>2</w:t>
            </w:r>
          </w:p>
        </w:tc>
        <w:tc>
          <w:tcPr>
            <w:tcW w:w="3468" w:type="dxa"/>
          </w:tcPr>
          <w:p w:rsidR="00655BAA" w:rsidRPr="00C95839" w:rsidRDefault="00655BAA" w:rsidP="008153C3">
            <w:pPr>
              <w:tabs>
                <w:tab w:val="left" w:pos="8505"/>
              </w:tabs>
              <w:ind w:right="-142"/>
            </w:pPr>
            <w:r w:rsidRPr="00C95839">
              <w:t>High influence</w:t>
            </w:r>
          </w:p>
        </w:tc>
      </w:tr>
    </w:tbl>
    <w:p w:rsidR="00655BAA" w:rsidRPr="00C95839" w:rsidRDefault="00655BAA" w:rsidP="00655BAA">
      <w:pPr>
        <w:tabs>
          <w:tab w:val="left" w:pos="5387"/>
          <w:tab w:val="left" w:pos="8505"/>
        </w:tabs>
        <w:ind w:left="284" w:right="4817"/>
        <w:jc w:val="both"/>
      </w:pPr>
      <w:r w:rsidRPr="00C95839">
        <w:rPr>
          <w:b/>
          <w:noProof/>
          <w:sz w:val="28"/>
          <w:szCs w:val="28"/>
          <w:lang w:eastAsia="en-GB"/>
        </w:rPr>
        <mc:AlternateContent>
          <mc:Choice Requires="wps">
            <w:drawing>
              <wp:anchor distT="0" distB="0" distL="114300" distR="114300" simplePos="0" relativeHeight="251663360" behindDoc="0" locked="0" layoutInCell="1" allowOverlap="1" wp14:anchorId="744D5CB0" wp14:editId="56E9CC37">
                <wp:simplePos x="0" y="0"/>
                <wp:positionH relativeFrom="column">
                  <wp:posOffset>3484245</wp:posOffset>
                </wp:positionH>
                <wp:positionV relativeFrom="paragraph">
                  <wp:posOffset>452120</wp:posOffset>
                </wp:positionV>
                <wp:extent cx="236855" cy="0"/>
                <wp:effectExtent l="0" t="76200" r="10795" b="114300"/>
                <wp:wrapNone/>
                <wp:docPr id="8" name="Straight Arrow Connector 8"/>
                <wp:cNvGraphicFramePr/>
                <a:graphic xmlns:a="http://schemas.openxmlformats.org/drawingml/2006/main">
                  <a:graphicData uri="http://schemas.microsoft.com/office/word/2010/wordprocessingShape">
                    <wps:wsp>
                      <wps:cNvCnPr/>
                      <wps:spPr>
                        <a:xfrm>
                          <a:off x="0" y="0"/>
                          <a:ext cx="23685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274.35pt;margin-top:35.6pt;width:18.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" strokecolor="black [3040]" strokeweight="2pt">
                <v:stroke endarrow="open"/>
              </v:shape>
            </w:pict>
          </mc:Fallback>
        </mc:AlternateContent>
      </w:r>
      <w:r w:rsidRPr="00C95839">
        <w:rPr>
          <w:b/>
          <w:sz w:val="28"/>
          <w:szCs w:val="28"/>
          <w:u w:val="single"/>
        </w:rPr>
        <w:t>I</w:t>
      </w:r>
      <w:r w:rsidRPr="00C95839">
        <w:rPr>
          <w:b/>
        </w:rPr>
        <w:t xml:space="preserve"> for Influence:</w:t>
      </w:r>
      <w:r w:rsidRPr="00C95839">
        <w:t xml:space="preserve"> The Committee will have varying levels of influence, depending on the issue it is </w:t>
      </w:r>
      <w:r>
        <w:t>reviewing</w:t>
      </w:r>
      <w:r w:rsidRPr="00C95839">
        <w:t xml:space="preserve">. The Committee is better placed to influence council services than external agencies, and should be looking to add value. Consideration should be given to the prospect and likelihood of having influence over a particular issue.  </w:t>
      </w:r>
    </w:p>
    <w:p w:rsidR="00655BAA" w:rsidRPr="00C95839" w:rsidRDefault="00655BAA" w:rsidP="00655BAA">
      <w:pPr>
        <w:tabs>
          <w:tab w:val="left" w:pos="8505"/>
        </w:tabs>
        <w:ind w:right="6773"/>
        <w:jc w:val="both"/>
      </w:pPr>
    </w:p>
    <w:tbl>
      <w:tblPr>
        <w:tblStyle w:val="TableGrid"/>
        <w:tblpPr w:leftFromText="180" w:rightFromText="180" w:vertAnchor="text" w:horzAnchor="margin" w:tblpXSpec="right" w:tblpY="30"/>
        <w:tblW w:w="0" w:type="auto"/>
        <w:tblLook w:val="04A0" w:firstRow="1" w:lastRow="0" w:firstColumn="1" w:lastColumn="0" w:noHBand="0" w:noVBand="1"/>
      </w:tblPr>
      <w:tblGrid>
        <w:gridCol w:w="817"/>
        <w:gridCol w:w="3469"/>
      </w:tblGrid>
      <w:tr w:rsidR="00655BAA" w:rsidRPr="00C95839" w:rsidTr="008153C3">
        <w:tc>
          <w:tcPr>
            <w:tcW w:w="817" w:type="dxa"/>
            <w:shd w:val="clear" w:color="auto" w:fill="D9D9D9" w:themeFill="background1" w:themeFillShade="D9"/>
          </w:tcPr>
          <w:p w:rsidR="00655BAA" w:rsidRPr="00C95839" w:rsidRDefault="00655BAA" w:rsidP="008153C3">
            <w:pPr>
              <w:tabs>
                <w:tab w:val="left" w:pos="8505"/>
              </w:tabs>
              <w:ind w:right="-142"/>
              <w:rPr>
                <w:b/>
              </w:rPr>
            </w:pPr>
            <w:r w:rsidRPr="00C95839">
              <w:rPr>
                <w:b/>
              </w:rPr>
              <w:t>Score</w:t>
            </w:r>
          </w:p>
        </w:tc>
        <w:tc>
          <w:tcPr>
            <w:tcW w:w="3469" w:type="dxa"/>
            <w:shd w:val="clear" w:color="auto" w:fill="D9D9D9" w:themeFill="background1" w:themeFillShade="D9"/>
          </w:tcPr>
          <w:p w:rsidR="00655BAA" w:rsidRPr="00C95839" w:rsidRDefault="00655BAA" w:rsidP="008153C3">
            <w:pPr>
              <w:tabs>
                <w:tab w:val="left" w:pos="8505"/>
              </w:tabs>
              <w:ind w:right="-142"/>
              <w:rPr>
                <w:b/>
              </w:rPr>
            </w:pPr>
            <w:r w:rsidRPr="00C95839">
              <w:rPr>
                <w:b/>
              </w:rPr>
              <w:t>Measure</w:t>
            </w:r>
          </w:p>
        </w:tc>
      </w:tr>
      <w:tr w:rsidR="00655BAA" w:rsidRPr="00C95839" w:rsidTr="008153C3">
        <w:tc>
          <w:tcPr>
            <w:tcW w:w="817" w:type="dxa"/>
          </w:tcPr>
          <w:p w:rsidR="00655BAA" w:rsidRPr="00C95839" w:rsidRDefault="00655BAA" w:rsidP="008153C3">
            <w:pPr>
              <w:tabs>
                <w:tab w:val="left" w:pos="8505"/>
              </w:tabs>
              <w:ind w:right="-142"/>
            </w:pPr>
            <w:r w:rsidRPr="00C95839">
              <w:t>0</w:t>
            </w:r>
          </w:p>
        </w:tc>
        <w:tc>
          <w:tcPr>
            <w:tcW w:w="3469" w:type="dxa"/>
          </w:tcPr>
          <w:p w:rsidR="00655BAA" w:rsidRPr="00C95839" w:rsidRDefault="00655BAA" w:rsidP="008153C3">
            <w:pPr>
              <w:tabs>
                <w:tab w:val="left" w:pos="8505"/>
              </w:tabs>
              <w:ind w:right="-142"/>
            </w:pPr>
            <w:r w:rsidRPr="00C95839">
              <w:t>Low financial impact</w:t>
            </w:r>
          </w:p>
        </w:tc>
      </w:tr>
      <w:tr w:rsidR="00655BAA" w:rsidRPr="00C95839" w:rsidTr="008153C3">
        <w:tc>
          <w:tcPr>
            <w:tcW w:w="817" w:type="dxa"/>
          </w:tcPr>
          <w:p w:rsidR="00655BAA" w:rsidRPr="00C95839" w:rsidRDefault="00655BAA" w:rsidP="008153C3">
            <w:pPr>
              <w:tabs>
                <w:tab w:val="left" w:pos="8505"/>
              </w:tabs>
              <w:ind w:right="-142"/>
            </w:pPr>
            <w:r w:rsidRPr="00C95839">
              <w:t>1</w:t>
            </w:r>
          </w:p>
        </w:tc>
        <w:tc>
          <w:tcPr>
            <w:tcW w:w="3469" w:type="dxa"/>
          </w:tcPr>
          <w:p w:rsidR="00655BAA" w:rsidRPr="00C95839" w:rsidRDefault="00655BAA" w:rsidP="008153C3">
            <w:pPr>
              <w:tabs>
                <w:tab w:val="left" w:pos="8505"/>
              </w:tabs>
              <w:ind w:right="-142"/>
            </w:pPr>
            <w:r w:rsidRPr="00C95839">
              <w:t>Medium financial impact</w:t>
            </w:r>
          </w:p>
        </w:tc>
      </w:tr>
      <w:tr w:rsidR="00655BAA" w:rsidRPr="00C95839" w:rsidTr="008153C3">
        <w:tc>
          <w:tcPr>
            <w:tcW w:w="817" w:type="dxa"/>
          </w:tcPr>
          <w:p w:rsidR="00655BAA" w:rsidRPr="00C95839" w:rsidRDefault="00655BAA" w:rsidP="008153C3">
            <w:pPr>
              <w:tabs>
                <w:tab w:val="left" w:pos="8505"/>
              </w:tabs>
              <w:ind w:right="-142"/>
            </w:pPr>
            <w:r w:rsidRPr="00C95839">
              <w:t>2</w:t>
            </w:r>
          </w:p>
        </w:tc>
        <w:tc>
          <w:tcPr>
            <w:tcW w:w="3469" w:type="dxa"/>
          </w:tcPr>
          <w:p w:rsidR="00655BAA" w:rsidRPr="00C95839" w:rsidRDefault="00655BAA" w:rsidP="008153C3">
            <w:pPr>
              <w:tabs>
                <w:tab w:val="left" w:pos="8505"/>
              </w:tabs>
              <w:ind w:right="-142"/>
            </w:pPr>
            <w:r w:rsidRPr="00C95839">
              <w:t>High financial impact</w:t>
            </w:r>
          </w:p>
        </w:tc>
      </w:tr>
    </w:tbl>
    <w:p w:rsidR="00655BAA" w:rsidRDefault="00655BAA" w:rsidP="00655BAA">
      <w:pPr>
        <w:tabs>
          <w:tab w:val="left" w:pos="5387"/>
          <w:tab w:val="left" w:pos="8505"/>
        </w:tabs>
        <w:ind w:left="284" w:right="4817"/>
        <w:jc w:val="both"/>
      </w:pPr>
      <w:r w:rsidRPr="00C95839">
        <w:rPr>
          <w:b/>
          <w:noProof/>
          <w:sz w:val="28"/>
          <w:szCs w:val="28"/>
          <w:lang w:eastAsia="en-GB"/>
        </w:rPr>
        <mc:AlternateContent>
          <mc:Choice Requires="wps">
            <w:drawing>
              <wp:anchor distT="0" distB="0" distL="114300" distR="114300" simplePos="0" relativeHeight="251660288" behindDoc="0" locked="0" layoutInCell="1" allowOverlap="1" wp14:anchorId="624C329E" wp14:editId="203ED308">
                <wp:simplePos x="0" y="0"/>
                <wp:positionH relativeFrom="column">
                  <wp:posOffset>3484245</wp:posOffset>
                </wp:positionH>
                <wp:positionV relativeFrom="paragraph">
                  <wp:posOffset>424180</wp:posOffset>
                </wp:positionV>
                <wp:extent cx="236855" cy="0"/>
                <wp:effectExtent l="0" t="76200" r="10795" b="114300"/>
                <wp:wrapNone/>
                <wp:docPr id="5" name="Straight Arrow Connector 5"/>
                <wp:cNvGraphicFramePr/>
                <a:graphic xmlns:a="http://schemas.openxmlformats.org/drawingml/2006/main">
                  <a:graphicData uri="http://schemas.microsoft.com/office/word/2010/wordprocessingShape">
                    <wps:wsp>
                      <wps:cNvCnPr/>
                      <wps:spPr>
                        <a:xfrm>
                          <a:off x="0" y="0"/>
                          <a:ext cx="23685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274.35pt;margin-top:33.4pt;width:18.6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" strokecolor="black [3040]" strokeweight="2pt">
                <v:stroke endarrow="open"/>
              </v:shape>
            </w:pict>
          </mc:Fallback>
        </mc:AlternateContent>
      </w:r>
      <w:r w:rsidRPr="00C95839">
        <w:rPr>
          <w:b/>
          <w:sz w:val="28"/>
          <w:szCs w:val="28"/>
          <w:u w:val="single"/>
        </w:rPr>
        <w:t>C</w:t>
      </w:r>
      <w:r w:rsidRPr="00C95839">
        <w:rPr>
          <w:b/>
        </w:rPr>
        <w:t xml:space="preserve"> for Cost:</w:t>
      </w:r>
      <w:r w:rsidRPr="00C95839">
        <w:t xml:space="preserve"> Services or decisions which incur a high level of income, </w:t>
      </w:r>
      <w:r>
        <w:t>expenditure or savings</w:t>
      </w:r>
    </w:p>
    <w:p w:rsidR="00655BAA" w:rsidRDefault="00655BAA" w:rsidP="00655BAA">
      <w:pPr>
        <w:tabs>
          <w:tab w:val="left" w:pos="5387"/>
          <w:tab w:val="left" w:pos="8505"/>
        </w:tabs>
        <w:ind w:left="284" w:right="4817"/>
      </w:pPr>
      <w:proofErr w:type="gramStart"/>
      <w:r w:rsidRPr="00C95839">
        <w:t>s</w:t>
      </w:r>
      <w:r>
        <w:t>hould</w:t>
      </w:r>
      <w:proofErr w:type="gramEnd"/>
      <w:r>
        <w:t xml:space="preserve"> be considered a priority.</w:t>
      </w:r>
    </w:p>
    <w:p w:rsidR="008A22C6" w:rsidRPr="008A22C6" w:rsidRDefault="008A22C6" w:rsidP="008A22C6"/>
    <w:sectPr w:rsidR="008A22C6" w:rsidRPr="008A22C6" w:rsidSect="00655BAA">
      <w:footerReference w:type="default" r:id="rId6"/>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1896"/>
      <w:docPartObj>
        <w:docPartGallery w:val="Page Numbers (Bottom of Page)"/>
        <w:docPartUnique/>
      </w:docPartObj>
    </w:sdtPr>
    <w:sdtEndPr>
      <w:rPr>
        <w:noProof/>
      </w:rPr>
    </w:sdtEndPr>
    <w:sdtContent>
      <w:p w:rsidR="002E7D2C" w:rsidRDefault="00655BAA" w:rsidP="004C1A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AA"/>
    <w:rsid w:val="000B4310"/>
    <w:rsid w:val="004000D7"/>
    <w:rsid w:val="00504E43"/>
    <w:rsid w:val="00655BAA"/>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A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AA"/>
    <w:pPr>
      <w:ind w:left="720"/>
      <w:contextualSpacing/>
    </w:pPr>
  </w:style>
  <w:style w:type="paragraph" w:styleId="Footer">
    <w:name w:val="footer"/>
    <w:basedOn w:val="Normal"/>
    <w:link w:val="FooterChar"/>
    <w:uiPriority w:val="99"/>
    <w:unhideWhenUsed/>
    <w:rsid w:val="00655BAA"/>
    <w:pPr>
      <w:tabs>
        <w:tab w:val="center" w:pos="4513"/>
        <w:tab w:val="right" w:pos="9026"/>
      </w:tabs>
    </w:pPr>
  </w:style>
  <w:style w:type="character" w:customStyle="1" w:styleId="FooterChar">
    <w:name w:val="Footer Char"/>
    <w:basedOn w:val="DefaultParagraphFont"/>
    <w:link w:val="Footer"/>
    <w:uiPriority w:val="99"/>
    <w:rsid w:val="00655BAA"/>
    <w:rPr>
      <w:rFonts w:eastAsia="Times New Roman" w:cs="Times New Roman"/>
    </w:rPr>
  </w:style>
  <w:style w:type="table" w:styleId="TableGrid">
    <w:name w:val="Table Grid"/>
    <w:basedOn w:val="TableNormal"/>
    <w:uiPriority w:val="59"/>
    <w:rsid w:val="0065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A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AA"/>
    <w:pPr>
      <w:ind w:left="720"/>
      <w:contextualSpacing/>
    </w:pPr>
  </w:style>
  <w:style w:type="paragraph" w:styleId="Footer">
    <w:name w:val="footer"/>
    <w:basedOn w:val="Normal"/>
    <w:link w:val="FooterChar"/>
    <w:uiPriority w:val="99"/>
    <w:unhideWhenUsed/>
    <w:rsid w:val="00655BAA"/>
    <w:pPr>
      <w:tabs>
        <w:tab w:val="center" w:pos="4513"/>
        <w:tab w:val="right" w:pos="9026"/>
      </w:tabs>
    </w:pPr>
  </w:style>
  <w:style w:type="character" w:customStyle="1" w:styleId="FooterChar">
    <w:name w:val="Footer Char"/>
    <w:basedOn w:val="DefaultParagraphFont"/>
    <w:link w:val="Footer"/>
    <w:uiPriority w:val="99"/>
    <w:rsid w:val="00655BAA"/>
    <w:rPr>
      <w:rFonts w:eastAsia="Times New Roman" w:cs="Times New Roman"/>
    </w:rPr>
  </w:style>
  <w:style w:type="table" w:styleId="TableGrid">
    <w:name w:val="Table Grid"/>
    <w:basedOn w:val="TableNormal"/>
    <w:uiPriority w:val="59"/>
    <w:rsid w:val="0065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7E44-A0C8-44E8-81A8-5E1FBCE6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2E721B1F</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1</cp:revision>
  <dcterms:created xsi:type="dcterms:W3CDTF">2018-05-24T11:05:00Z</dcterms:created>
  <dcterms:modified xsi:type="dcterms:W3CDTF">2018-05-24T11:07:00Z</dcterms:modified>
</cp:coreProperties>
</file>